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E" w:rsidRPr="0058171E" w:rsidRDefault="0058171E" w:rsidP="0058171E">
      <w:pPr>
        <w:spacing w:after="133"/>
        <w:jc w:val="left"/>
        <w:textAlignment w:val="baseline"/>
        <w:outlineLvl w:val="0"/>
        <w:rPr>
          <w:rFonts w:ascii="Arial" w:eastAsia="Times New Roman" w:hAnsi="Arial" w:cs="Arial"/>
          <w:caps/>
          <w:kern w:val="36"/>
          <w:sz w:val="37"/>
          <w:szCs w:val="37"/>
        </w:rPr>
      </w:pPr>
      <w:r w:rsidRPr="0058171E">
        <w:rPr>
          <w:rFonts w:ascii="Arial" w:eastAsia="Times New Roman" w:hAnsi="Arial" w:cs="Arial"/>
          <w:caps/>
          <w:kern w:val="36"/>
          <w:sz w:val="37"/>
          <w:szCs w:val="37"/>
        </w:rPr>
        <w:t>ЛЕСТВИЦЕ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3812540" cy="2159635"/>
            <wp:effectExtent l="19050" t="0" r="0" b="0"/>
            <wp:docPr id="1" name="Picture 1" descr="Azbu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bu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АЗБУКА.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Њу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чини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30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поређана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одређеним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редоследом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набрајамо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тај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начин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Приликом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говора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комбинујемо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састављајући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речи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3812540" cy="1821815"/>
            <wp:effectExtent l="19050" t="0" r="0" b="0"/>
            <wp:docPr id="2" name="Picture 2" descr="Brojev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jev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 БРОЈЕВИ.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такође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поређани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одређеним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редоследом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набрајамо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Користимо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различите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потребе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различите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начине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2693670" cy="2665730"/>
            <wp:effectExtent l="19050" t="0" r="0" b="0"/>
            <wp:docPr id="3" name="Picture 3" descr="Stepeni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eni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СТЕПЕНИЦЕ.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састављене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степеника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поређани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висини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Док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пењемо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силазимо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њима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стајемо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степенике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, 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без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прескакања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893445" cy="2398395"/>
            <wp:effectExtent l="19050" t="0" r="1905" b="0"/>
            <wp:docPr id="4" name="Picture 4" descr="merdevi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devi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МЕРДЕВИНЕ.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састављене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попречних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постављене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одређеном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Док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пењемо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силазимо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њима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стајемо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летвицу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, 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без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прескакања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Примећујете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више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пута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поменута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реч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НИЗ,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кључна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причи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о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поређано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одређени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начин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употребљава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музика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питању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ево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још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неких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3812540" cy="3017520"/>
            <wp:effectExtent l="19050" t="0" r="0" b="0"/>
            <wp:docPr id="5" name="Picture 5" descr="No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можете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приметите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НОТЕ,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тј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имена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нотних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висина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солмизацијом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почиње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једном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затим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следе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постављене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редоследом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научили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самом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почетку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петог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разреда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крају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кренули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тај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укупно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8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могли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назовемо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музичком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азбуком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јер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представљају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основу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писање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музике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НИЗ ОД 8 НОТА, ЗОВЕ СЕ</w:t>
      </w:r>
      <w:r w:rsidRPr="0058171E">
        <w:rPr>
          <w:rFonts w:ascii="inherit" w:eastAsia="Times New Roman" w:hAnsi="inherit" w:cs="Arial"/>
          <w:color w:val="FF0000"/>
          <w:sz w:val="27"/>
        </w:rPr>
        <w:t> 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ЛЕСТВИЦА</w:t>
      </w:r>
      <w:r w:rsidRPr="0058171E">
        <w:rPr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или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 СКАЛА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последња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исто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учили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може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изгради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више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њих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јављају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врсте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ДУРСКЕ</w:t>
      </w:r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и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МОЛСКЕ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пишу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мелодије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веселе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брзе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полетне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разигране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…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пишу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мелодије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нежне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осећајне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лагане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тужне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…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lastRenderedPageBreak/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добијају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имена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абецедном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имену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прве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(C,D,E,F,G,A,H)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скраћеници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која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обележава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врсту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(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dur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moll).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следеће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C-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D-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E-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F-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G-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A-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, H-</w:t>
      </w:r>
      <w:proofErr w:type="spellStart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dur</w:t>
      </w:r>
      <w:proofErr w:type="spellEnd"/>
      <w:r w:rsidRPr="0058171E">
        <w:rPr>
          <w:rFonts w:ascii="inherit" w:eastAsia="Times New Roman" w:hAnsi="inherit" w:cs="Arial"/>
          <w:b/>
          <w:bCs/>
          <w:color w:val="00FFFF"/>
          <w:sz w:val="27"/>
        </w:rPr>
        <w:t>…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b/>
          <w:bCs/>
          <w:color w:val="FF00FF"/>
          <w:sz w:val="27"/>
        </w:rPr>
        <w:t>c-moll, d-moll, e-moll, f-moll, g-moll, a-moll, h-moll…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примећујете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пишу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великим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словом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а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малим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словом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Три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тачке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показују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постоји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још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своје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место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оно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СТУПАЊ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Ступњеви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обележавају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римским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бројевима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I-VIII.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I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ступањ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пета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јеV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ступањ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седма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увек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VII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ступањ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…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битан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елемент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(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висини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),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јер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одређени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распоред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утиче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ће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бити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значи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немају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исти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распоред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јавља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као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СТЕПЕН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,</w:t>
      </w:r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ПОЛУСТЕПЕН</w:t>
      </w:r>
      <w:r w:rsidRPr="0058171E">
        <w:rPr>
          <w:rFonts w:ascii="Arial" w:eastAsia="Times New Roman" w:hAnsi="Arial" w:cs="Arial"/>
          <w:color w:val="2B2B2B"/>
          <w:sz w:val="27"/>
        </w:rPr>
        <w:t> 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СТЕПЕН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и ПО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Основно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коме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праве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музички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инструменти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ДО и РЕ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РЕ и МИ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МИ и ФА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пола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степена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ФА и СОЛ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СОЛ и ЛА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ЛА и СИ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</w:t>
      </w:r>
      <w:proofErr w:type="spellEnd"/>
    </w:p>
    <w:p w:rsidR="0058171E" w:rsidRPr="0058171E" w:rsidRDefault="0058171E" w:rsidP="0058171E">
      <w:pPr>
        <w:numPr>
          <w:ilvl w:val="0"/>
          <w:numId w:val="1"/>
        </w:numPr>
        <w:shd w:val="clear" w:color="auto" w:fill="FFFFFF"/>
        <w:ind w:left="222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између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СИ и ДО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налази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се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пола</w:t>
      </w:r>
      <w:proofErr w:type="spellEnd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171E">
        <w:rPr>
          <w:rFonts w:ascii="inherit" w:eastAsia="Times New Roman" w:hAnsi="inherit" w:cs="Arial"/>
          <w:color w:val="008000"/>
          <w:sz w:val="27"/>
          <w:szCs w:val="27"/>
          <w:bdr w:val="none" w:sz="0" w:space="0" w:color="auto" w:frame="1"/>
        </w:rPr>
        <w:t>степена</w:t>
      </w:r>
      <w:proofErr w:type="spellEnd"/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Најбоља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илустрација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растојања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види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клавијатури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саставни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део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многих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инструмената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598170"/>
            <wp:effectExtent l="19050" t="0" r="0" b="0"/>
            <wp:docPr id="6" name="Picture 6" descr="Klavijatur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avijatur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Беле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основни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тонови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а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црне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тонови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добијају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употребом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повисилица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снизилица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Црне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белих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види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местима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где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(МИ-ФА, СИ-ДО)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црних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а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где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цели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црне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дирке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lastRenderedPageBreak/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лакше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запамтили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распоред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ево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једне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песмице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Полстепен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МИ-ФА-МИ,</w:t>
      </w:r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полустепен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СИ-ДО-СИ,</w:t>
      </w:r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само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два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у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лествици</w:t>
      </w:r>
      <w:proofErr w:type="spellEnd"/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и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то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знамо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сви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ћемо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упознати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1631950"/>
            <wp:effectExtent l="19050" t="0" r="0" b="0"/>
            <wp:docPr id="7" name="Picture 7" descr="C-dur lestvic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-dur lestvic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Редослед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писања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једне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следећи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испишу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773430"/>
            <wp:effectExtent l="19050" t="0" r="0" b="0"/>
            <wp:docPr id="8" name="Picture 8" descr="Note lestvi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e lestvi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После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обележавају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ступњеви</w:t>
      </w:r>
      <w:proofErr w:type="spellEnd"/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949325"/>
            <wp:effectExtent l="19050" t="0" r="0" b="0"/>
            <wp:docPr id="9" name="Picture 9" descr="Stupnjev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pnjev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Након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ступњева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реду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полустепени</w:t>
      </w:r>
      <w:proofErr w:type="spellEnd"/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515485" cy="1097280"/>
            <wp:effectExtent l="19050" t="0" r="0" b="0"/>
            <wp:docPr id="10" name="Picture 10" descr="Stepeni i polustepen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peni i polustepen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Цели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обележавају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луком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а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оштрим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углом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крају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дели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мања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4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Низ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4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ТЕТРАХОРД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(tetra-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четири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hord-тон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).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доњи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тетрахорд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други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или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горњи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тетрахорд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line="266" w:lineRule="atLeast"/>
        <w:jc w:val="center"/>
        <w:textAlignment w:val="baseline"/>
        <w:rPr>
          <w:rFonts w:ascii="inherit" w:eastAsia="Times New Roman" w:hAnsi="inherit" w:cs="Arial"/>
          <w:color w:val="2B2B2B"/>
          <w:sz w:val="18"/>
          <w:szCs w:val="18"/>
        </w:rPr>
      </w:pPr>
      <w:r>
        <w:rPr>
          <w:rFonts w:ascii="inherit" w:eastAsia="Times New Roman" w:hAnsi="inherit" w:cs="Arial"/>
          <w:noProof/>
          <w:color w:val="8C763F"/>
          <w:sz w:val="18"/>
          <w:szCs w:val="18"/>
          <w:bdr w:val="none" w:sz="0" w:space="0" w:color="auto" w:frame="1"/>
        </w:rPr>
        <w:drawing>
          <wp:inline distT="0" distB="0" distL="0" distR="0">
            <wp:extent cx="4515485" cy="1209675"/>
            <wp:effectExtent l="19050" t="0" r="0" b="0"/>
            <wp:docPr id="11" name="Picture 11" descr="Tetrahord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trahord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C-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dur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значи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почиње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завршава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ДО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припада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Прави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показатељ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ради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о</w:t>
      </w:r>
      <w:r w:rsidRPr="0058171E">
        <w:rPr>
          <w:rFonts w:ascii="Arial" w:eastAsia="Times New Roman" w:hAnsi="Arial" w:cs="Arial"/>
          <w:color w:val="2B2B2B"/>
          <w:sz w:val="27"/>
        </w:rPr>
        <w:t> 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дурској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лествици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тај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III и IV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ступња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и 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VII и VIII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ступња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правило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Када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у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питању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молске</w:t>
      </w:r>
      <w:proofErr w:type="spellEnd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њих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налазе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другим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местима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II и III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ступња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Arial" w:eastAsia="Times New Roman" w:hAnsi="Arial" w:cs="Arial"/>
          <w:color w:val="2B2B2B"/>
          <w:sz w:val="27"/>
          <w:szCs w:val="27"/>
        </w:rPr>
        <w:t>и</w:t>
      </w:r>
      <w:r w:rsidRPr="0058171E">
        <w:rPr>
          <w:rFonts w:ascii="Arial" w:eastAsia="Times New Roman" w:hAnsi="Arial" w:cs="Arial"/>
          <w:color w:val="2B2B2B"/>
          <w:sz w:val="27"/>
        </w:rPr>
        <w:t> </w:t>
      </w:r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 xml:space="preserve">V и VI </w:t>
      </w:r>
      <w:proofErr w:type="spellStart"/>
      <w:r w:rsidRPr="0058171E">
        <w:rPr>
          <w:rFonts w:ascii="inherit" w:eastAsia="Times New Roman" w:hAnsi="inherit" w:cs="Arial"/>
          <w:b/>
          <w:bCs/>
          <w:color w:val="FF0000"/>
          <w:sz w:val="27"/>
        </w:rPr>
        <w:t>ступња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</w:t>
      </w:r>
    </w:p>
    <w:p w:rsidR="0058171E" w:rsidRPr="0058171E" w:rsidRDefault="0058171E" w:rsidP="0058171E">
      <w:pPr>
        <w:shd w:val="clear" w:color="auto" w:fill="FFFFFF"/>
        <w:spacing w:before="399" w:after="133"/>
        <w:jc w:val="left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него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упознамо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прву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битно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поменути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различите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повезане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тако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своју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сродну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тј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паралелну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обрнуто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свака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своју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паралелну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Паралелне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једна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и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која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почиње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од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VI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ступња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дурске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. У C-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dur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шести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ступањ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ЛА.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ЛА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абецедом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зове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А.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Паралелна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молска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 C-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dur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,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a-moll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.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Још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један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показатељ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су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ове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две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лествице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паралелне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је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што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имају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полустепене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између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истих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 xml:space="preserve"> </w:t>
      </w:r>
      <w:proofErr w:type="spellStart"/>
      <w:r w:rsidRPr="0058171E">
        <w:rPr>
          <w:rFonts w:ascii="Arial" w:eastAsia="Times New Roman" w:hAnsi="Arial" w:cs="Arial"/>
          <w:color w:val="2B2B2B"/>
          <w:sz w:val="27"/>
          <w:szCs w:val="27"/>
        </w:rPr>
        <w:t>нота</w:t>
      </w:r>
      <w:proofErr w:type="spellEnd"/>
      <w:r w:rsidRPr="0058171E">
        <w:rPr>
          <w:rFonts w:ascii="Arial" w:eastAsia="Times New Roman" w:hAnsi="Arial" w:cs="Arial"/>
          <w:color w:val="2B2B2B"/>
          <w:sz w:val="27"/>
          <w:szCs w:val="27"/>
        </w:rPr>
        <w:t>: МИ-ФА и СИ-ДО.</w:t>
      </w:r>
    </w:p>
    <w:p w:rsidR="0058171E" w:rsidRPr="0058171E" w:rsidRDefault="0058171E" w:rsidP="0058171E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B2B2B"/>
          <w:sz w:val="27"/>
          <w:szCs w:val="27"/>
        </w:rPr>
      </w:pPr>
      <w:r w:rsidRPr="0058171E">
        <w:rPr>
          <w:rFonts w:ascii="inherit" w:eastAsia="Times New Roman" w:hAnsi="inherit" w:cs="Arial"/>
          <w:b/>
          <w:bCs/>
          <w:color w:val="2B2B2B"/>
          <w:sz w:val="27"/>
        </w:rPr>
        <w:t xml:space="preserve">a-moll </w:t>
      </w:r>
      <w:proofErr w:type="spellStart"/>
      <w:r w:rsidRPr="0058171E">
        <w:rPr>
          <w:rFonts w:ascii="inherit" w:eastAsia="Times New Roman" w:hAnsi="inherit" w:cs="Arial"/>
          <w:b/>
          <w:bCs/>
          <w:color w:val="2B2B2B"/>
          <w:sz w:val="27"/>
        </w:rPr>
        <w:t>лествица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BA5"/>
    <w:multiLevelType w:val="multilevel"/>
    <w:tmpl w:val="17A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8171E"/>
    <w:rsid w:val="0058171E"/>
    <w:rsid w:val="00B00A4A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5817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171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1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1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171E"/>
  </w:style>
  <w:style w:type="character" w:styleId="Strong">
    <w:name w:val="Strong"/>
    <w:basedOn w:val="DefaultParagraphFont"/>
    <w:uiPriority w:val="22"/>
    <w:qFormat/>
    <w:rsid w:val="00581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451">
          <w:marLeft w:val="0"/>
          <w:marRight w:val="5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bicamusiceducation.files.wordpress.com/2013/11/not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bebicamusiceducation.files.wordpress.com/2013/11/stupnjevi.jpg" TargetMode="External"/><Relationship Id="rId7" Type="http://schemas.openxmlformats.org/officeDocument/2006/relationships/hyperlink" Target="https://bebicamusiceducation.files.wordpress.com/2013/11/brojev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ebicamusiceducation.files.wordpress.com/2013/11/c-dur-lestvica.jpg" TargetMode="External"/><Relationship Id="rId25" Type="http://schemas.openxmlformats.org/officeDocument/2006/relationships/hyperlink" Target="https://bebicamusiceducation.files.wordpress.com/2013/11/tetrahordi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ebicamusiceducation.files.wordpress.com/2013/11/merdevine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bebicamusiceducation.files.wordpress.com/2013/11/azbuka.jpg" TargetMode="External"/><Relationship Id="rId15" Type="http://schemas.openxmlformats.org/officeDocument/2006/relationships/hyperlink" Target="https://bebicamusiceducation.files.wordpress.com/2013/11/klavijatura.jpg" TargetMode="External"/><Relationship Id="rId23" Type="http://schemas.openxmlformats.org/officeDocument/2006/relationships/hyperlink" Target="https://bebicamusiceducation.files.wordpress.com/2013/11/stepeni-i-polustepeni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ebicamusiceducation.files.wordpress.com/2013/11/note-lestvic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bicamusiceducation.files.wordpress.com/2013/11/stepenic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2016-03-13T22:43:00Z</dcterms:created>
  <dcterms:modified xsi:type="dcterms:W3CDTF">2016-03-13T22:43:00Z</dcterms:modified>
</cp:coreProperties>
</file>