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5225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35"/>
        <w:gridCol w:w="7590"/>
        <w:tblGridChange w:id="0">
          <w:tblGrid>
            <w:gridCol w:w="7635"/>
            <w:gridCol w:w="7590"/>
          </w:tblGrid>
        </w:tblGridChange>
      </w:tblGrid>
      <w:tr>
        <w:trPr>
          <w:trHeight w:val="8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1. Први сабирак је 2, а други 4. Израчунај збир. ____________</w:t>
              <w:br w:type="textWrapping"/>
              <w:br w:type="textWrapping"/>
              <w:t xml:space="preserve">2. Други сабирак је 5, а први 3. Израчунај збир. 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3. Израчунај збир ако је други сабирак 1, а први 9. _________</w:t>
              <w:br w:type="textWrapping"/>
              <w:br w:type="textWrapping"/>
              <w:t xml:space="preserve">4. Упиши бројеве који недостају:</w:t>
              <w:br w:type="textWrapping"/>
            </w:r>
          </w:p>
          <w:tbl>
            <w:tblPr>
              <w:tblStyle w:val="Table1"/>
              <w:bidiVisual w:val="0"/>
              <w:tblW w:w="67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845"/>
              <w:gridCol w:w="675"/>
              <w:gridCol w:w="720"/>
              <w:gridCol w:w="660"/>
              <w:gridCol w:w="675"/>
              <w:gridCol w:w="750"/>
              <w:gridCol w:w="660"/>
              <w:gridCol w:w="795"/>
              <w:tblGridChange w:id="0">
                <w:tblGrid>
                  <w:gridCol w:w="1845"/>
                  <w:gridCol w:w="675"/>
                  <w:gridCol w:w="720"/>
                  <w:gridCol w:w="660"/>
                  <w:gridCol w:w="675"/>
                  <w:gridCol w:w="750"/>
                  <w:gridCol w:w="660"/>
                  <w:gridCol w:w="795"/>
                </w:tblGrid>
              </w:tblGridChange>
            </w:tblGrid>
            <w:t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први сабирак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1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0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 5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 3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9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други сабирак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4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2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  7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 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 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збир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6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 7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 9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10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10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5. Први сабирак је 4, а други је за 2 већи од првог. Израчунај збир.</w:t>
              <w:br w:type="textWrapping"/>
              <w:br w:type="textWrapping"/>
              <w:t xml:space="preserve">први сабирак: __________________________________________</w:t>
              <w:br w:type="textWrapping"/>
              <w:br w:type="textWrapping"/>
              <w:t xml:space="preserve">други сабирак: _________________________________________</w:t>
              <w:br w:type="textWrapping"/>
              <w:br w:type="textWrapping"/>
              <w:t xml:space="preserve">збир: __________________________________________________</w:t>
              <w:br w:type="textWrapping"/>
              <w:br w:type="textWrapping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1. Први сабирак је 2, а други 4. Израчунај збир. ____________</w:t>
              <w:br w:type="textWrapping"/>
              <w:br w:type="textWrapping"/>
              <w:t xml:space="preserve">2. Други сабирак је 5, а први 3. Израчунај збир. 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3. Израчунај збир ако је други сабирак 1, а први 9. _________</w:t>
              <w:br w:type="textWrapping"/>
              <w:br w:type="textWrapping"/>
              <w:t xml:space="preserve">4. Упиши бројеве који недостају:</w:t>
              <w:br w:type="textWrapping"/>
            </w:r>
          </w:p>
          <w:tbl>
            <w:tblPr>
              <w:tblStyle w:val="Table2"/>
              <w:bidiVisual w:val="0"/>
              <w:tblW w:w="67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830"/>
              <w:gridCol w:w="570"/>
              <w:gridCol w:w="690"/>
              <w:gridCol w:w="720"/>
              <w:gridCol w:w="765"/>
              <w:gridCol w:w="750"/>
              <w:gridCol w:w="660"/>
              <w:gridCol w:w="795"/>
              <w:tblGridChange w:id="0">
                <w:tblGrid>
                  <w:gridCol w:w="1830"/>
                  <w:gridCol w:w="570"/>
                  <w:gridCol w:w="690"/>
                  <w:gridCol w:w="720"/>
                  <w:gridCol w:w="765"/>
                  <w:gridCol w:w="750"/>
                  <w:gridCol w:w="660"/>
                  <w:gridCol w:w="795"/>
                </w:tblGrid>
              </w:tblGridChange>
            </w:tblGrid>
            <w:t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први сабирак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1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0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 5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 3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9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други сабирак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4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2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  7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 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 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збир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6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 7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 9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10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 10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5. Први сабирак је 4, а други је за 2 већи од првог. Израчунај збир.</w:t>
              <w:br w:type="textWrapping"/>
              <w:br w:type="textWrapping"/>
              <w:t xml:space="preserve">први сабирак: __________________________________________</w:t>
              <w:br w:type="textWrapping"/>
              <w:br w:type="textWrapping"/>
              <w:t xml:space="preserve">други сабирак: _________________________________________</w:t>
              <w:br w:type="textWrapping"/>
              <w:br w:type="textWrapping"/>
              <w:t xml:space="preserve">збир: __________________________________________________</w:t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6858000" cy="51435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5143500" cy="68580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51435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514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6858000" cy="51435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0" y="0"/>
                          <a:ext cx="5143500" cy="68580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51435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514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eader" Target="header1.xml"/></Relationships>
</file>