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72" w:rsidRPr="00727072" w:rsidRDefault="00727072" w:rsidP="0072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bookmarkStart w:id="0" w:name="_GoBack"/>
      <w:bookmarkEnd w:id="0"/>
      <w:r w:rsidRPr="00727072">
        <w:rPr>
          <w:rFonts w:ascii="Times New Roman" w:eastAsia="Times New Roman" w:hAnsi="Times New Roman" w:cs="Times New Roman"/>
          <w:sz w:val="20"/>
          <w:szCs w:val="20"/>
          <w:lang w:val="sr-Cyrl-CS"/>
        </w:rPr>
        <w:t>ГЛОБАЛНИ  ПЛАН РАДА НАСТАВНИКА</w:t>
      </w:r>
    </w:p>
    <w:p w:rsidR="00727072" w:rsidRPr="00727072" w:rsidRDefault="00727072" w:rsidP="0072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27072">
        <w:rPr>
          <w:rFonts w:ascii="Times New Roman" w:eastAsia="Times New Roman" w:hAnsi="Times New Roman" w:cs="Times New Roman"/>
          <w:sz w:val="20"/>
          <w:szCs w:val="20"/>
          <w:lang w:val="sr-Cyrl-CS"/>
        </w:rPr>
        <w:t>ПРОЈЕКТНА НАСТАВА</w:t>
      </w:r>
    </w:p>
    <w:p w:rsidR="00727072" w:rsidRPr="00727072" w:rsidRDefault="00727072" w:rsidP="0072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2707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Наставник: </w:t>
      </w:r>
      <w:r w:rsidRPr="00727072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</w:t>
      </w:r>
    </w:p>
    <w:p w:rsidR="00727072" w:rsidRPr="00727072" w:rsidRDefault="00727072" w:rsidP="0072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2707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Разред и одељење: </w:t>
      </w:r>
      <w:r w:rsidRPr="00727072">
        <w:rPr>
          <w:rFonts w:ascii="Times New Roman" w:eastAsia="Times New Roman" w:hAnsi="Times New Roman" w:cs="Times New Roman"/>
          <w:sz w:val="20"/>
          <w:szCs w:val="20"/>
          <w:lang w:val="ru-RU"/>
        </w:rPr>
        <w:t>ПРВИ разред, одељење _______</w:t>
      </w:r>
    </w:p>
    <w:p w:rsidR="00727072" w:rsidRPr="00727072" w:rsidRDefault="00727072" w:rsidP="0072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2707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Недељни фонд: </w:t>
      </w:r>
      <w:r w:rsidRPr="00727072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72707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час</w:t>
      </w:r>
      <w:r w:rsidRPr="00727072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Годишњи фонд: 36 часова</w:t>
      </w:r>
    </w:p>
    <w:p w:rsidR="00727072" w:rsidRPr="00727072" w:rsidRDefault="00727072" w:rsidP="00C73EA5">
      <w:pPr>
        <w:pStyle w:val="NoSpacing"/>
        <w:rPr>
          <w:rFonts w:ascii="Georgia" w:hAnsi="Georgia"/>
          <w:sz w:val="20"/>
          <w:szCs w:val="20"/>
          <w:shd w:val="clear" w:color="auto" w:fill="FFFFFF"/>
          <w:lang w:val="sr-Cyrl-CS"/>
        </w:rPr>
      </w:pPr>
    </w:p>
    <w:tbl>
      <w:tblPr>
        <w:tblStyle w:val="TableGrid"/>
        <w:tblpPr w:leftFromText="180" w:rightFromText="180" w:vertAnchor="text" w:horzAnchor="page" w:tblpX="1050" w:tblpY="83"/>
        <w:tblW w:w="14232" w:type="dxa"/>
        <w:tblLook w:val="04A0"/>
      </w:tblPr>
      <w:tblGrid>
        <w:gridCol w:w="918"/>
        <w:gridCol w:w="1890"/>
        <w:gridCol w:w="6039"/>
        <w:gridCol w:w="484"/>
        <w:gridCol w:w="479"/>
        <w:gridCol w:w="484"/>
        <w:gridCol w:w="571"/>
        <w:gridCol w:w="475"/>
        <w:gridCol w:w="480"/>
        <w:gridCol w:w="480"/>
        <w:gridCol w:w="495"/>
        <w:gridCol w:w="485"/>
        <w:gridCol w:w="474"/>
        <w:gridCol w:w="478"/>
      </w:tblGrid>
      <w:tr w:rsidR="00727072" w:rsidRPr="00727072" w:rsidTr="0094547B">
        <w:trPr>
          <w:trHeight w:val="258"/>
        </w:trPr>
        <w:tc>
          <w:tcPr>
            <w:tcW w:w="918" w:type="dxa"/>
            <w:vMerge w:val="restart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 xml:space="preserve">Редни број </w:t>
            </w:r>
          </w:p>
        </w:tc>
        <w:tc>
          <w:tcPr>
            <w:tcW w:w="1890" w:type="dxa"/>
            <w:vMerge w:val="restart"/>
          </w:tcPr>
          <w:p w:rsidR="005C10EB" w:rsidRPr="0052458F" w:rsidRDefault="005C10E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 xml:space="preserve">Назив пројекта </w:t>
            </w:r>
            <w:r w:rsidR="00475CD2">
              <w:rPr>
                <w:rFonts w:ascii="Georgia" w:hAnsi="Georgia"/>
                <w:sz w:val="20"/>
                <w:szCs w:val="20"/>
                <w:lang/>
              </w:rPr>
              <w:t>/</w:t>
            </w:r>
          </w:p>
          <w:p w:rsidR="005C10EB" w:rsidRPr="00727072" w:rsidRDefault="00475CD2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/>
              </w:rPr>
              <w:t>трајање</w:t>
            </w:r>
          </w:p>
        </w:tc>
        <w:tc>
          <w:tcPr>
            <w:tcW w:w="6039" w:type="dxa"/>
            <w:vMerge w:val="restart"/>
          </w:tcPr>
          <w:p w:rsidR="00727072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Исходи</w:t>
            </w:r>
          </w:p>
          <w:p w:rsidR="005C10EB" w:rsidRPr="00727072" w:rsidRDefault="00475CD2" w:rsidP="00475CD2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У</w:t>
            </w:r>
            <w:r w:rsidR="00C37B25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чени</w:t>
            </w:r>
            <w:r w:rsidR="00C37B25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к</w:t>
            </w:r>
            <w:r w:rsidR="005C10EB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ће бити у стању да</w:t>
            </w:r>
            <w:r w:rsidR="00C37B25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:</w:t>
            </w:r>
          </w:p>
        </w:tc>
        <w:tc>
          <w:tcPr>
            <w:tcW w:w="5385" w:type="dxa"/>
            <w:gridSpan w:val="11"/>
          </w:tcPr>
          <w:p w:rsidR="005C10EB" w:rsidRPr="00727072" w:rsidRDefault="00727072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В</w:t>
            </w:r>
            <w:r w:rsidR="005C10EB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ременска артикулација</w:t>
            </w:r>
          </w:p>
        </w:tc>
      </w:tr>
      <w:tr w:rsidR="00727072" w:rsidRPr="00727072" w:rsidTr="0094547B">
        <w:trPr>
          <w:trHeight w:val="265"/>
        </w:trPr>
        <w:tc>
          <w:tcPr>
            <w:tcW w:w="918" w:type="dxa"/>
            <w:vMerge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IX</w:t>
            </w:r>
          </w:p>
        </w:tc>
        <w:tc>
          <w:tcPr>
            <w:tcW w:w="479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8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XI</w:t>
            </w:r>
          </w:p>
        </w:tc>
        <w:tc>
          <w:tcPr>
            <w:tcW w:w="571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XII</w:t>
            </w:r>
          </w:p>
        </w:tc>
        <w:tc>
          <w:tcPr>
            <w:tcW w:w="47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480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II</w:t>
            </w:r>
          </w:p>
        </w:tc>
        <w:tc>
          <w:tcPr>
            <w:tcW w:w="480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II</w:t>
            </w:r>
          </w:p>
        </w:tc>
        <w:tc>
          <w:tcPr>
            <w:tcW w:w="49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III</w:t>
            </w:r>
          </w:p>
        </w:tc>
        <w:tc>
          <w:tcPr>
            <w:tcW w:w="48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IV</w:t>
            </w:r>
          </w:p>
        </w:tc>
        <w:tc>
          <w:tcPr>
            <w:tcW w:w="47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478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VI</w:t>
            </w:r>
          </w:p>
        </w:tc>
      </w:tr>
      <w:tr w:rsidR="00727072" w:rsidRPr="00727072" w:rsidTr="0094547B">
        <w:trPr>
          <w:trHeight w:val="259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>Слагалица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/>
              </w:rPr>
              <w:t xml:space="preserve">трајање 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/>
              </w:rPr>
              <w:t xml:space="preserve"> 4 часа</w:t>
            </w:r>
          </w:p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Српски језик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7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учествује у вођеном и слободном разговору;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7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обликује усмену поруку служећи се одговарајућим речима;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7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усмено описује ствари из непосредног окружења;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Свет око нас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понаша</w:t>
            </w:r>
            <w:r w:rsidR="002A77A2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 се </w:t>
            </w: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 тако да уважава различитости својих вршњака и других људи;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сарађује са вршњацима у заједничким активностима; 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Ликовна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преведе једноставне појмове и информације у ликовни рад;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црта на различитим подлогама и форматима папира;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користи материјал и прибор у складу са инструкцијама;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5C10EB" w:rsidRPr="00727072" w:rsidRDefault="005C10EB" w:rsidP="002A77A2">
            <w:pPr>
              <w:pStyle w:val="NoSpacing"/>
              <w:numPr>
                <w:ilvl w:val="0"/>
                <w:numId w:val="10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сарађује и преузима различите улоге у групи</w:t>
            </w:r>
            <w:r w:rsidR="002A77A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.</w:t>
            </w:r>
          </w:p>
        </w:tc>
        <w:tc>
          <w:tcPr>
            <w:tcW w:w="48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79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571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9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8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</w:tr>
      <w:tr w:rsidR="00727072" w:rsidRPr="00727072" w:rsidTr="0094547B">
        <w:trPr>
          <w:trHeight w:val="259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>Кад год можеш</w:t>
            </w:r>
            <w:r w:rsidR="00475CD2">
              <w:rPr>
                <w:rFonts w:ascii="Georgia" w:hAnsi="Georgia"/>
                <w:sz w:val="20"/>
                <w:szCs w:val="20"/>
                <w:lang w:val="ru-RU"/>
              </w:rPr>
              <w:t>,</w:t>
            </w: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 xml:space="preserve"> рециклирај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/>
              </w:rPr>
              <w:t xml:space="preserve">трајање 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/>
              </w:rPr>
              <w:t xml:space="preserve"> 4 часа</w:t>
            </w: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Српски језик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0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уме самостално</w:t>
            </w:r>
            <w:r w:rsidR="002A77A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 да</w:t>
            </w:r>
            <w:r w:rsidR="002A77A2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пронађ</w:t>
            </w:r>
            <w:r w:rsidR="002A77A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е</w:t>
            </w: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информације  експлицитно изнете у тексту;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0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активно слуша и разуме садржај књижевноуметничког текста;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Свет око нас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1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разликује природу од производа људског рада на примерима из непосредног окружења;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1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одлаже отпад на предвиђена места;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1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сарађује са вршњацима у заједничким активностима; 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Ликовна култура</w:t>
            </w:r>
          </w:p>
          <w:p w:rsidR="005C10EB" w:rsidRPr="00727072" w:rsidRDefault="005679CE" w:rsidP="0094547B">
            <w:pPr>
              <w:pStyle w:val="NoSpacing"/>
              <w:numPr>
                <w:ilvl w:val="0"/>
                <w:numId w:val="12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ц</w:t>
            </w:r>
            <w:r w:rsidR="005C10EB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рта на различитим подлогама и форматима папира;</w:t>
            </w:r>
          </w:p>
          <w:p w:rsidR="005C10EB" w:rsidRPr="00727072" w:rsidRDefault="002A77A2" w:rsidP="0094547B">
            <w:pPr>
              <w:pStyle w:val="NoSpacing"/>
              <w:numPr>
                <w:ilvl w:val="0"/>
                <w:numId w:val="12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к</w:t>
            </w: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ористи </w:t>
            </w:r>
            <w:r w:rsidR="005C10EB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 xml:space="preserve">материјал и прибор у складу са </w:t>
            </w:r>
            <w:r w:rsidR="005C10EB"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lastRenderedPageBreak/>
              <w:t>инструкцијама;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5C10EB" w:rsidRPr="00727072" w:rsidRDefault="005C10EB" w:rsidP="002A77A2">
            <w:pPr>
              <w:pStyle w:val="NoSpacing"/>
              <w:numPr>
                <w:ilvl w:val="0"/>
                <w:numId w:val="13"/>
              </w:numP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доприноси промоцији акције и вреднује је</w:t>
            </w:r>
            <w:r w:rsidR="002A77A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.</w:t>
            </w:r>
          </w:p>
        </w:tc>
        <w:tc>
          <w:tcPr>
            <w:tcW w:w="48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9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8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571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9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5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4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8" w:type="dxa"/>
          </w:tcPr>
          <w:p w:rsidR="005C10EB" w:rsidRPr="00727072" w:rsidRDefault="005C10EB" w:rsidP="0072707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</w:tr>
      <w:tr w:rsidR="00727072" w:rsidRPr="00727072" w:rsidTr="0094547B">
        <w:trPr>
          <w:trHeight w:val="765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90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>Чист ваздух дубок удах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/>
              </w:rPr>
              <w:t xml:space="preserve">трајање 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/>
              </w:rPr>
              <w:t xml:space="preserve"> 5 часова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Српски језик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3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усмено описује ствари из непосредног окружења;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3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спаја више реченица у краћу целину;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3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уме да самостално </w:t>
            </w:r>
            <w:r w:rsidR="002A77A2"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пронађ</w:t>
            </w:r>
            <w:r w:rsidR="002A77A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е</w:t>
            </w: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информације експлицитно изнете у тексту; 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Свет око нас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4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учествује у извођењу једноставних огледа којима испитује природне феномене;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4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сарађује са вршњацима у заједничким активностима; </w:t>
            </w:r>
          </w:p>
          <w:p w:rsidR="005C10EB" w:rsidRPr="00727072" w:rsidRDefault="002A77A2" w:rsidP="0094547B">
            <w:pPr>
              <w:pStyle w:val="NoSpacing"/>
              <w:numPr>
                <w:ilvl w:val="0"/>
                <w:numId w:val="14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повезуј</w:t>
            </w:r>
            <w: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е</w:t>
            </w:r>
            <w:r w:rsidR="005C10EB"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резултате учења и рада са уложеним трудом;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Ликовна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5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преобликује, сам или у сарадњи са другима, употребне предмете мењајући им намену;</w:t>
            </w:r>
          </w:p>
          <w:p w:rsidR="005C10EB" w:rsidRPr="00727072" w:rsidRDefault="005679CE" w:rsidP="0094547B">
            <w:pPr>
              <w:pStyle w:val="NoSpacing"/>
              <w:numPr>
                <w:ilvl w:val="0"/>
                <w:numId w:val="15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к</w:t>
            </w:r>
            <w:r w:rsidR="005C10EB"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ористи материјал и прибор у складу са инструкцијама;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6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сарађује и преузима различите улоге у групи;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6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са другим ученицима доприноси промоцији акције и вреднује је</w:t>
            </w:r>
            <w:r w:rsidR="002A77A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.</w:t>
            </w: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571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7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9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8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</w:tr>
      <w:tr w:rsidR="00727072" w:rsidRPr="00727072" w:rsidTr="0094547B">
        <w:trPr>
          <w:trHeight w:val="506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890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>Гозба за птице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/>
              </w:rPr>
              <w:t>трајање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/>
              </w:rPr>
              <w:t>4 часа</w:t>
            </w: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Српски језик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7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пронађе информације експлицитно изнете у тексту</w:t>
            </w:r>
            <w:r w:rsidR="002A77A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;</w:t>
            </w:r>
          </w:p>
          <w:p w:rsidR="005C10EB" w:rsidRPr="00727072" w:rsidRDefault="002A77A2" w:rsidP="0094547B">
            <w:pPr>
              <w:pStyle w:val="NoSpacing"/>
              <w:numPr>
                <w:ilvl w:val="0"/>
                <w:numId w:val="17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2A77A2">
              <w:rPr>
                <w:rFonts w:ascii="Georgia" w:hAnsi="Georgia" w:cs="Helvetica"/>
                <w:sz w:val="20"/>
                <w:szCs w:val="20"/>
                <w:shd w:val="clear" w:color="auto" w:fill="FFFFFF"/>
                <w:lang w:val="ru-RU"/>
              </w:rPr>
              <w:t xml:space="preserve">чита гласно, </w:t>
            </w:r>
            <w:r w:rsidR="005C10EB"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 правилно и са разумевањем;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7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спаја више реченица у краћу целину;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Ликовна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8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преведе једноставне појмове и информације у ликовни рад;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8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преобликује, сам или у сарадњи са другима, употребне предмете мењајући им намену;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8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користи материјал и прибор у складу са инструкцијама;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Свет око нас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9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идентификује биљке и животиње из непосредног окружења на основу њиховог спољашњег изгледа;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19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понаша </w:t>
            </w:r>
            <w:r w:rsidR="008045CF"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 се </w:t>
            </w: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тако да не угрожава биљке и животиње  у непосредном окружењу</w:t>
            </w:r>
            <w:r w:rsidR="008045CF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0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lastRenderedPageBreak/>
              <w:t>сарађује и преузима различите улоге у групи</w:t>
            </w:r>
            <w:r w:rsidR="008045CF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.</w:t>
            </w: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571" w:type="dxa"/>
          </w:tcPr>
          <w:p w:rsidR="005C10EB" w:rsidRPr="00727072" w:rsidRDefault="008741A5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  <w:lang w:val="ru-RU"/>
              </w:rPr>
              <w:t>х</w:t>
            </w:r>
          </w:p>
        </w:tc>
        <w:tc>
          <w:tcPr>
            <w:tcW w:w="475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80" w:type="dxa"/>
          </w:tcPr>
          <w:p w:rsidR="005C10EB" w:rsidRPr="008741A5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9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8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</w:tr>
      <w:tr w:rsidR="00727072" w:rsidRPr="00727072" w:rsidTr="0094547B">
        <w:trPr>
          <w:trHeight w:val="518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90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>Фибоначијеви кругови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/>
              </w:rPr>
              <w:t xml:space="preserve">трајање 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/>
              </w:rPr>
              <w:t xml:space="preserve"> 3 часа</w:t>
            </w: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0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уочи правило и одреди следећи члан започетог низа;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0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именује геометријска тела и фигуре;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0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групише предмете и бића са заједничким својством;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Ликовна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1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преведе  једноставне појмове и информације у ликовни рад;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1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црта на различитим подлогама и форматима папира;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1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користи материјал и прибор у складу са инструкцијама;</w:t>
            </w:r>
          </w:p>
          <w:p w:rsidR="005C10EB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8045CF" w:rsidRPr="00727072" w:rsidRDefault="008045CF" w:rsidP="0052458F">
            <w:pPr>
              <w:pStyle w:val="NoSpacing"/>
              <w:numPr>
                <w:ilvl w:val="0"/>
                <w:numId w:val="31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сарађује и преузима различите улоге у групи.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</w:p>
          <w:p w:rsidR="005C10EB" w:rsidRPr="00727072" w:rsidRDefault="005C10EB" w:rsidP="008045CF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571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8741A5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х</w:t>
            </w:r>
          </w:p>
        </w:tc>
        <w:tc>
          <w:tcPr>
            <w:tcW w:w="480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9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8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</w:tr>
      <w:tr w:rsidR="00727072" w:rsidRPr="00727072" w:rsidTr="0094547B">
        <w:trPr>
          <w:trHeight w:val="506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1890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>Моја улица носи име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lang/>
              </w:rPr>
              <w:t xml:space="preserve">трајање 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/>
              </w:rPr>
              <w:t xml:space="preserve"> 3 часа</w:t>
            </w: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Српски језик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2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пронађе информације експлицитно изнете у тексту.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2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правилно употреби велико слово;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2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примењује основна правописна правила;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Ликовна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3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преведе једноставне појмове и информације у ликовни рад;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3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користи материјал и прибор у складу са инструкцијама;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3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црта на различитим подлогама и форматима папира;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4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сарађује и преузима различите улоге у групи</w:t>
            </w:r>
            <w:r w:rsidR="00C6604C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.</w:t>
            </w: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571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95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8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8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</w:tr>
      <w:tr w:rsidR="00727072" w:rsidRPr="00727072" w:rsidTr="0094547B">
        <w:trPr>
          <w:trHeight w:val="506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1890" w:type="dxa"/>
          </w:tcPr>
          <w:p w:rsidR="005C10EB" w:rsidRPr="0052458F" w:rsidRDefault="005C10EB" w:rsidP="0094547B">
            <w:pPr>
              <w:rPr>
                <w:rFonts w:ascii="Georgia" w:hAnsi="Georgia"/>
                <w:i/>
                <w:sz w:val="20"/>
                <w:szCs w:val="20"/>
                <w:lang w:val="ru-RU"/>
              </w:rPr>
            </w:pP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 xml:space="preserve">Омнибус </w:t>
            </w:r>
            <w:r w:rsidR="00C6604C"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Pr="0052458F">
              <w:rPr>
                <w:rFonts w:ascii="Georgia" w:hAnsi="Georgia"/>
                <w:i/>
                <w:sz w:val="20"/>
                <w:szCs w:val="20"/>
                <w:lang w:val="ru-RU"/>
              </w:rPr>
              <w:t>Басне у позоришту сенки</w:t>
            </w: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 w:val="ru-RU"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 xml:space="preserve">трајање 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 w:val="ru-RU"/>
              </w:rPr>
              <w:t xml:space="preserve"> 4 часа</w:t>
            </w: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/>
              </w:rPr>
              <w:t xml:space="preserve">Српски језик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4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 xml:space="preserve">препозна басну и разуме њено значење;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4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>учествује у сценском извођењу текста;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4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 xml:space="preserve">напамет говори краће књижевне текстове; </w:t>
            </w:r>
          </w:p>
          <w:p w:rsidR="005C10EB" w:rsidRPr="00727072" w:rsidRDefault="005C10EB" w:rsidP="0094547B">
            <w:pPr>
              <w:pStyle w:val="NoSpacing"/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>Ликовна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5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>преведе једноставне појмове и информације у ликовни рад;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5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>црта на различитим подлогама и форматима папира;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5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sr-Cyrl-CS"/>
              </w:rPr>
              <w:t>преобликује, сам или у сарадњи са другима, употребне предмете мењајући им намену;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5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 xml:space="preserve">користи материјал и прибор у складу са </w:t>
            </w: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lastRenderedPageBreak/>
              <w:t>инструкцијама;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>Музичка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6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>изабере према литерарном садржају одговарајући музички садржај;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6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  <w:t>учествује у школским приредбама и манифестацијама;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7"/>
              </w:numPr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 w:val="ru-RU"/>
              </w:rPr>
            </w:pPr>
            <w:r w:rsidRPr="00727072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/>
              </w:rPr>
              <w:t>сарађује и преузима различите улоге у групи</w:t>
            </w:r>
            <w:r w:rsidR="00E3431D">
              <w:rPr>
                <w:rFonts w:ascii="Georgia" w:eastAsia="Times New Roman" w:hAnsi="Georgia" w:cs="Helvetica"/>
                <w:sz w:val="20"/>
                <w:szCs w:val="20"/>
                <w:shd w:val="clear" w:color="auto" w:fill="FFFFFF"/>
                <w:lang/>
              </w:rPr>
              <w:t>.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571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9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5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7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8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</w:tr>
      <w:tr w:rsidR="00727072" w:rsidRPr="00727072" w:rsidTr="0094547B">
        <w:trPr>
          <w:trHeight w:val="1037"/>
        </w:trPr>
        <w:tc>
          <w:tcPr>
            <w:tcW w:w="918" w:type="dxa"/>
          </w:tcPr>
          <w:p w:rsidR="005C10EB" w:rsidRPr="00727072" w:rsidRDefault="005C10EB" w:rsidP="0094547B">
            <w:pPr>
              <w:rPr>
                <w:rFonts w:ascii="Georgia" w:hAnsi="Georgia"/>
                <w:sz w:val="20"/>
                <w:szCs w:val="20"/>
              </w:rPr>
            </w:pPr>
            <w:r w:rsidRPr="00727072">
              <w:rPr>
                <w:rFonts w:ascii="Georgia" w:hAnsi="Georgi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90" w:type="dxa"/>
          </w:tcPr>
          <w:p w:rsidR="005C10EB" w:rsidRPr="00727072" w:rsidRDefault="005C10EB" w:rsidP="0094547B">
            <w:p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Јесте ли за шољу чаја?</w:t>
            </w:r>
          </w:p>
          <w:p w:rsidR="0094547B" w:rsidRPr="00727072" w:rsidRDefault="0094547B" w:rsidP="0094547B">
            <w:p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</w:p>
          <w:p w:rsidR="0094547B" w:rsidRPr="00727072" w:rsidRDefault="0094547B" w:rsidP="0094547B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 w:rsidRPr="00727072">
              <w:rPr>
                <w:rFonts w:ascii="Georgia" w:hAnsi="Georgia"/>
                <w:sz w:val="20"/>
                <w:szCs w:val="20"/>
                <w:lang w:val="ru-RU"/>
              </w:rPr>
              <w:t xml:space="preserve">трајање </w:t>
            </w:r>
          </w:p>
          <w:p w:rsidR="0094547B" w:rsidRPr="00727072" w:rsidRDefault="00475CD2" w:rsidP="0094547B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–</w:t>
            </w:r>
            <w:r w:rsidR="0094547B" w:rsidRPr="00727072">
              <w:rPr>
                <w:rFonts w:ascii="Georgia" w:hAnsi="Georgia"/>
                <w:sz w:val="20"/>
                <w:szCs w:val="20"/>
                <w:lang w:val="ru-RU"/>
              </w:rPr>
              <w:t xml:space="preserve"> 8 часова</w:t>
            </w:r>
          </w:p>
        </w:tc>
        <w:tc>
          <w:tcPr>
            <w:tcW w:w="603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Српски језик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7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самостално пронађ</w:t>
            </w:r>
            <w:r w:rsidR="00E3431D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е</w:t>
            </w: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 информације  експлицитно изнете у тексту; 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7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обликуј</w:t>
            </w:r>
            <w:r w:rsidR="00E3431D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е</w:t>
            </w: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 усмену поруку служећи се одговарајућим речима;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Свет око нас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8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идентификуј</w:t>
            </w:r>
            <w:r w:rsidR="00E3431D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е</w:t>
            </w: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 биљке из непосредног окружења на основу њиховог изгледа;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8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понаша</w:t>
            </w:r>
            <w:r w:rsidR="00E3431D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 се</w:t>
            </w: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 xml:space="preserve"> тако да не угрожавају биљке у непосредном окружењу, не чупа биљке из корена;</w:t>
            </w:r>
          </w:p>
          <w:p w:rsidR="005C10EB" w:rsidRPr="00727072" w:rsidRDefault="00E3431D" w:rsidP="0094547B">
            <w:pPr>
              <w:pStyle w:val="NoSpacing"/>
              <w:numPr>
                <w:ilvl w:val="0"/>
                <w:numId w:val="28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повезуј</w:t>
            </w:r>
            <w: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е</w:t>
            </w:r>
            <w:r w:rsidR="005C10EB"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резултате учења и рада са уложеним трудом</w:t>
            </w:r>
            <w: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: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Ликовна култура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9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црта на различитим подлогама и форматима папира;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29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користи материјал и прибор у складу са инструкцијама;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Математика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30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разликује новчане апоене до 100 динара и упоређује их;</w:t>
            </w:r>
          </w:p>
          <w:p w:rsidR="005C10EB" w:rsidRPr="00727072" w:rsidRDefault="005C10EB" w:rsidP="0094547B">
            <w:pPr>
              <w:pStyle w:val="NoSpacing"/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Грађанско васпитање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30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сарађује и преузима различите улоге у групи;</w:t>
            </w:r>
          </w:p>
          <w:p w:rsidR="005C10EB" w:rsidRPr="00727072" w:rsidRDefault="005C10EB" w:rsidP="0094547B">
            <w:pPr>
              <w:pStyle w:val="NoSpacing"/>
              <w:numPr>
                <w:ilvl w:val="0"/>
                <w:numId w:val="30"/>
              </w:numPr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доприноси промоцији акције и вреднује је</w:t>
            </w:r>
            <w:r w:rsidR="00E3431D">
              <w:rPr>
                <w:rFonts w:ascii="Georgia" w:hAnsi="Georgia" w:cs="Helvetica"/>
                <w:sz w:val="20"/>
                <w:szCs w:val="20"/>
                <w:shd w:val="clear" w:color="auto" w:fill="FFFFFF"/>
                <w:lang/>
              </w:rPr>
              <w:t>.</w:t>
            </w: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9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4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571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7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0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95" w:type="dxa"/>
          </w:tcPr>
          <w:p w:rsidR="005C10EB" w:rsidRPr="00727072" w:rsidRDefault="005C10E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485" w:type="dxa"/>
          </w:tcPr>
          <w:p w:rsidR="005C10EB" w:rsidRPr="00727072" w:rsidRDefault="008741A5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х</w:t>
            </w:r>
          </w:p>
        </w:tc>
        <w:tc>
          <w:tcPr>
            <w:tcW w:w="474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478" w:type="dxa"/>
          </w:tcPr>
          <w:p w:rsidR="005C10EB" w:rsidRPr="00727072" w:rsidRDefault="0094547B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727072" w:rsidRPr="00727072" w:rsidTr="0004355B">
        <w:trPr>
          <w:trHeight w:val="593"/>
        </w:trPr>
        <w:tc>
          <w:tcPr>
            <w:tcW w:w="14232" w:type="dxa"/>
            <w:gridSpan w:val="14"/>
          </w:tcPr>
          <w:p w:rsidR="002D39C2" w:rsidRPr="00727072" w:rsidRDefault="002D39C2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</w:p>
          <w:p w:rsidR="0094547B" w:rsidRPr="00727072" w:rsidRDefault="002D39C2" w:rsidP="0094547B">
            <w:pPr>
              <w:pStyle w:val="NoSpacing"/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</w:pPr>
            <w:r w:rsidRPr="00727072">
              <w:rPr>
                <w:rFonts w:ascii="Georgia" w:hAnsi="Georgia"/>
                <w:sz w:val="20"/>
                <w:szCs w:val="20"/>
                <w:shd w:val="clear" w:color="auto" w:fill="FFFFFF"/>
                <w:lang/>
              </w:rPr>
              <w:t>Укупно 36 часова</w:t>
            </w:r>
          </w:p>
        </w:tc>
      </w:tr>
    </w:tbl>
    <w:p w:rsidR="006A583B" w:rsidRPr="00727072" w:rsidRDefault="006A583B" w:rsidP="00C73EA5">
      <w:pPr>
        <w:pStyle w:val="NoSpacing"/>
        <w:rPr>
          <w:rFonts w:ascii="Georgia" w:hAnsi="Georgia"/>
          <w:sz w:val="20"/>
          <w:szCs w:val="20"/>
          <w:shd w:val="clear" w:color="auto" w:fill="FFFFFF"/>
          <w:lang/>
        </w:rPr>
      </w:pPr>
    </w:p>
    <w:p w:rsidR="006A583B" w:rsidRPr="00727072" w:rsidRDefault="006A583B" w:rsidP="00C73EA5">
      <w:pPr>
        <w:pStyle w:val="NoSpacing"/>
        <w:rPr>
          <w:rFonts w:ascii="Georgia" w:hAnsi="Georgia"/>
          <w:sz w:val="20"/>
          <w:szCs w:val="20"/>
          <w:shd w:val="clear" w:color="auto" w:fill="FFFFFF"/>
          <w:lang/>
        </w:rPr>
      </w:pPr>
    </w:p>
    <w:p w:rsidR="00E8604E" w:rsidRPr="00727072" w:rsidRDefault="00E8604E" w:rsidP="00C73EA5">
      <w:pPr>
        <w:pStyle w:val="NoSpacing"/>
        <w:rPr>
          <w:rFonts w:ascii="Georgia" w:hAnsi="Georgia"/>
          <w:sz w:val="20"/>
          <w:szCs w:val="20"/>
          <w:shd w:val="clear" w:color="auto" w:fill="FFFFFF"/>
          <w:lang/>
        </w:rPr>
      </w:pPr>
    </w:p>
    <w:sectPr w:rsidR="00E8604E" w:rsidRPr="00727072" w:rsidSect="00E860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931"/>
    <w:multiLevelType w:val="hybridMultilevel"/>
    <w:tmpl w:val="B2A2A2FC"/>
    <w:lvl w:ilvl="0" w:tplc="2D544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00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23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A2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6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C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25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26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00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43616"/>
    <w:multiLevelType w:val="hybridMultilevel"/>
    <w:tmpl w:val="7466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7991"/>
    <w:multiLevelType w:val="hybridMultilevel"/>
    <w:tmpl w:val="237A5B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68C5"/>
    <w:multiLevelType w:val="hybridMultilevel"/>
    <w:tmpl w:val="6EF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6D89"/>
    <w:multiLevelType w:val="hybridMultilevel"/>
    <w:tmpl w:val="E7FA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6426"/>
    <w:multiLevelType w:val="hybridMultilevel"/>
    <w:tmpl w:val="9F6C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49DC"/>
    <w:multiLevelType w:val="hybridMultilevel"/>
    <w:tmpl w:val="842C2914"/>
    <w:lvl w:ilvl="0" w:tplc="347CF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2D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A6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03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68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88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6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18006E"/>
    <w:multiLevelType w:val="hybridMultilevel"/>
    <w:tmpl w:val="55F4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027ED"/>
    <w:multiLevelType w:val="hybridMultilevel"/>
    <w:tmpl w:val="BE48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4243"/>
    <w:multiLevelType w:val="hybridMultilevel"/>
    <w:tmpl w:val="9106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5743"/>
    <w:multiLevelType w:val="hybridMultilevel"/>
    <w:tmpl w:val="D7A2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340BD"/>
    <w:multiLevelType w:val="hybridMultilevel"/>
    <w:tmpl w:val="079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15D06"/>
    <w:multiLevelType w:val="hybridMultilevel"/>
    <w:tmpl w:val="D586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02A3E"/>
    <w:multiLevelType w:val="multilevel"/>
    <w:tmpl w:val="6DE6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748F2"/>
    <w:multiLevelType w:val="hybridMultilevel"/>
    <w:tmpl w:val="556E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30B03"/>
    <w:multiLevelType w:val="hybridMultilevel"/>
    <w:tmpl w:val="2F0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F2276"/>
    <w:multiLevelType w:val="hybridMultilevel"/>
    <w:tmpl w:val="8D24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3B09"/>
    <w:multiLevelType w:val="hybridMultilevel"/>
    <w:tmpl w:val="322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70A38"/>
    <w:multiLevelType w:val="hybridMultilevel"/>
    <w:tmpl w:val="6C68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606C0"/>
    <w:multiLevelType w:val="hybridMultilevel"/>
    <w:tmpl w:val="514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478FE"/>
    <w:multiLevelType w:val="multilevel"/>
    <w:tmpl w:val="ECC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257FA"/>
    <w:multiLevelType w:val="hybridMultilevel"/>
    <w:tmpl w:val="F362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F2D41"/>
    <w:multiLevelType w:val="hybridMultilevel"/>
    <w:tmpl w:val="853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34F1"/>
    <w:multiLevelType w:val="hybridMultilevel"/>
    <w:tmpl w:val="6DE43E20"/>
    <w:lvl w:ilvl="0" w:tplc="B516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E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E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2A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6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27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6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CC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CF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7F2C65"/>
    <w:multiLevelType w:val="hybridMultilevel"/>
    <w:tmpl w:val="528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96C0F"/>
    <w:multiLevelType w:val="hybridMultilevel"/>
    <w:tmpl w:val="BA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1095"/>
    <w:multiLevelType w:val="hybridMultilevel"/>
    <w:tmpl w:val="B0D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C30AC"/>
    <w:multiLevelType w:val="hybridMultilevel"/>
    <w:tmpl w:val="85D8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E1E0B"/>
    <w:multiLevelType w:val="hybridMultilevel"/>
    <w:tmpl w:val="73D67676"/>
    <w:lvl w:ilvl="0" w:tplc="0F92B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A7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8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2D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E5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EE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CF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CEB067A"/>
    <w:multiLevelType w:val="hybridMultilevel"/>
    <w:tmpl w:val="0E8C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44EC4"/>
    <w:multiLevelType w:val="hybridMultilevel"/>
    <w:tmpl w:val="058C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3"/>
  </w:num>
  <w:num w:numId="4">
    <w:abstractNumId w:val="0"/>
  </w:num>
  <w:num w:numId="5">
    <w:abstractNumId w:val="6"/>
  </w:num>
  <w:num w:numId="6">
    <w:abstractNumId w:val="28"/>
  </w:num>
  <w:num w:numId="7">
    <w:abstractNumId w:val="12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18"/>
  </w:num>
  <w:num w:numId="13">
    <w:abstractNumId w:val="24"/>
  </w:num>
  <w:num w:numId="14">
    <w:abstractNumId w:val="16"/>
  </w:num>
  <w:num w:numId="15">
    <w:abstractNumId w:val="26"/>
  </w:num>
  <w:num w:numId="16">
    <w:abstractNumId w:val="7"/>
  </w:num>
  <w:num w:numId="17">
    <w:abstractNumId w:val="10"/>
  </w:num>
  <w:num w:numId="18">
    <w:abstractNumId w:val="15"/>
  </w:num>
  <w:num w:numId="19">
    <w:abstractNumId w:val="30"/>
  </w:num>
  <w:num w:numId="20">
    <w:abstractNumId w:val="27"/>
  </w:num>
  <w:num w:numId="21">
    <w:abstractNumId w:val="25"/>
  </w:num>
  <w:num w:numId="22">
    <w:abstractNumId w:val="8"/>
  </w:num>
  <w:num w:numId="23">
    <w:abstractNumId w:val="19"/>
  </w:num>
  <w:num w:numId="24">
    <w:abstractNumId w:val="3"/>
  </w:num>
  <w:num w:numId="25">
    <w:abstractNumId w:val="21"/>
  </w:num>
  <w:num w:numId="26">
    <w:abstractNumId w:val="4"/>
  </w:num>
  <w:num w:numId="27">
    <w:abstractNumId w:val="29"/>
  </w:num>
  <w:num w:numId="28">
    <w:abstractNumId w:val="22"/>
  </w:num>
  <w:num w:numId="29">
    <w:abstractNumId w:val="14"/>
  </w:num>
  <w:num w:numId="30">
    <w:abstractNumId w:val="1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20"/>
  <w:hyphenationZone w:val="425"/>
  <w:characterSpacingControl w:val="doNotCompress"/>
  <w:compat/>
  <w:rsids>
    <w:rsidRoot w:val="003F35C6"/>
    <w:rsid w:val="000928F0"/>
    <w:rsid w:val="002A77A2"/>
    <w:rsid w:val="002D39C2"/>
    <w:rsid w:val="002D504A"/>
    <w:rsid w:val="002E1FE7"/>
    <w:rsid w:val="00332E8D"/>
    <w:rsid w:val="00363711"/>
    <w:rsid w:val="003F35C6"/>
    <w:rsid w:val="00475CD2"/>
    <w:rsid w:val="0052410D"/>
    <w:rsid w:val="0052458F"/>
    <w:rsid w:val="005679CE"/>
    <w:rsid w:val="005C10EB"/>
    <w:rsid w:val="00617186"/>
    <w:rsid w:val="006A583B"/>
    <w:rsid w:val="00727072"/>
    <w:rsid w:val="007A3B45"/>
    <w:rsid w:val="007B15EE"/>
    <w:rsid w:val="007D3C08"/>
    <w:rsid w:val="007D4A32"/>
    <w:rsid w:val="008045CF"/>
    <w:rsid w:val="00844265"/>
    <w:rsid w:val="008741A5"/>
    <w:rsid w:val="008B4AC2"/>
    <w:rsid w:val="00923679"/>
    <w:rsid w:val="0094547B"/>
    <w:rsid w:val="009C0CBB"/>
    <w:rsid w:val="009D5B1F"/>
    <w:rsid w:val="00A32861"/>
    <w:rsid w:val="00A35E2D"/>
    <w:rsid w:val="00A47496"/>
    <w:rsid w:val="00A56BC7"/>
    <w:rsid w:val="00AD6399"/>
    <w:rsid w:val="00B10F32"/>
    <w:rsid w:val="00B62E38"/>
    <w:rsid w:val="00B73798"/>
    <w:rsid w:val="00C37B25"/>
    <w:rsid w:val="00C47E63"/>
    <w:rsid w:val="00C54FF9"/>
    <w:rsid w:val="00C6604C"/>
    <w:rsid w:val="00C73EA5"/>
    <w:rsid w:val="00D0239D"/>
    <w:rsid w:val="00D64013"/>
    <w:rsid w:val="00D71062"/>
    <w:rsid w:val="00DA2B37"/>
    <w:rsid w:val="00DB4A54"/>
    <w:rsid w:val="00DD451C"/>
    <w:rsid w:val="00E00B4B"/>
    <w:rsid w:val="00E3431D"/>
    <w:rsid w:val="00E560C8"/>
    <w:rsid w:val="00E8604E"/>
    <w:rsid w:val="00E9531E"/>
    <w:rsid w:val="00EB7EAE"/>
    <w:rsid w:val="00F865FF"/>
    <w:rsid w:val="00FE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7EAE"/>
    <w:rPr>
      <w:i/>
      <w:iCs/>
    </w:rPr>
  </w:style>
  <w:style w:type="paragraph" w:styleId="NormalWeb">
    <w:name w:val="Normal (Web)"/>
    <w:basedOn w:val="Normal"/>
    <w:uiPriority w:val="99"/>
    <w:unhideWhenUsed/>
    <w:rsid w:val="00A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f">
    <w:name w:val="graf"/>
    <w:basedOn w:val="Normal"/>
    <w:rsid w:val="0009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28F0"/>
    <w:rPr>
      <w:color w:val="0000FF"/>
      <w:u w:val="single"/>
    </w:rPr>
  </w:style>
  <w:style w:type="table" w:styleId="TableGrid">
    <w:name w:val="Table Grid"/>
    <w:basedOn w:val="TableNormal"/>
    <w:uiPriority w:val="59"/>
    <w:rsid w:val="00B1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60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075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509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648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544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64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928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62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592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27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24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186">
          <w:marLeft w:val="0"/>
          <w:marRight w:val="0"/>
          <w:marTop w:val="3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 Stojkovic</dc:creator>
  <cp:lastModifiedBy>Prodaja1</cp:lastModifiedBy>
  <cp:revision>2</cp:revision>
  <dcterms:created xsi:type="dcterms:W3CDTF">2018-08-20T12:04:00Z</dcterms:created>
  <dcterms:modified xsi:type="dcterms:W3CDTF">2018-08-20T12:04:00Z</dcterms:modified>
</cp:coreProperties>
</file>